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138</w:t>
      </w:r>
    </w:p>
    <w:p>
      <w:r>
        <w:t>Bundesgericht (BGE), 2003-08-13, DE</w:t>
      </w:r>
    </w:p>
    <w:p>
      <w:r>
        <w:rPr>
          <w:b/>
        </w:rPr>
        <w:t xml:space="preserve">Quelle: </w:t>
      </w:r>
      <w:r>
        <w:t>https://mcp.opencaselaw.ch/entscheid/bge_131 IV 138</w:t>
      </w:r>
    </w:p>
    <w:p>
      <w:r>
        <w:t>FR: ATF 131 IV 138</w:t>
      </w:r>
    </w:p>
    <w:p>
      <w:r>
        <w:t>IT: DTF 131 IV 138</w:t>
      </w:r>
    </w:p>
    <w:p>
      <w:pPr>
        <w:pStyle w:val="Heading2"/>
      </w:pPr>
      <w:r>
        <w:t>Regeste</w:t>
      </w:r>
    </w:p>
    <w:p>
      <w:r>
        <w:t>Regeste Missachtung eines Fahrverbots (Art. 19 Abs. 1 lit. a und b SSV); Tragweite einer signalisierten Ausnahmeerlaubnis (Art. 1 Abs. 5, Art. 17 Abs. 1 und Art. 63-65 SSV). Die Zusatztafel zu einem Fahrverbot mit dem Hinweis "Zufahrt für Anwohner, Taxi, PTT, öffentl. Dienste und zum Güterumschlag jederzeit gestattet" ist im Sinne eines zweckgerichteten und auf die genannten Kreise beschränkten Zubringerdienstes zu verstehen. Die Ausnahmeerlaubnis erstreckt sich nicht auf reine Durchfahrten (E. 2).</w:t>
      </w:r>
    </w:p>
    <w:p>
      <w:pPr>
        <w:pStyle w:val="Heading2"/>
      </w:pPr>
      <w:r>
        <w:t>Erwägungen</w:t>
      </w:r>
    </w:p>
    <w:p>
      <w:r>
        <w:rPr>
          <w:b/>
        </w:rPr>
        <w:t>E. 1</w:t>
      </w:r>
    </w:p>
    <w:p>
      <w:r>
        <w:t>Das Obergericht nimmt an, der Wortlaut der Zusatztafel sei "klar und weder interpretationswürdig noch -fähig". Aus dem BGE 131 IV 138 S. 140 Umstand, dass der Beschwerdegegner keinen konkreten Fahrauftrag gehabt und die Ackerstrasse befahren habe, um am Limmatplatz eine Pause einzulegen, könne keine Verletzung des Fahrverbots abgeleitet werden. Pausen seien Bestandteil der Arbeit und gesetzlich vorgeschrieben. Zudem hätte sich Y. unterwegs ohne weiteres die Gelegenheit bieten können, einen Fussgänger als Fahrgast aufzunehmen. Wenn Rechte, die Taxifahrern zugestanden würden, "nach momentaner konkreter Tätigkeit im Einzelfall jeweils interpretiert und ausgelegt werden" müssten, würde dies zu "kaum lösbaren, problematischen Schwierigkeiten auf Kosten der Rechtssicherheit führen".</w:t>
      </w:r>
    </w:p>
    <w:p>
      <w:r>
        <w:rPr>
          <w:b/>
        </w:rPr>
        <w:t>E. 2.1</w:t>
      </w:r>
    </w:p>
    <w:p>
      <w:r>
        <w:t>Beim Hauptsignal handelt es sich um ein auf Motorwagen und Motorräder beschränktes und nur für einen bestimmten Tagesabschnitt geltendes (Teil-)Fahrverbot im Sinne von Art. 19 Abs. 1 lit. a und b der Signalisationsverordnung vom 5. September 1979 (SSV; SR 741.21) und der Abbildung in Ziff. 2.13 Anhang 2 SSV. Die Zusatztafel ( Art. 1 Abs. 5 SSV ) enthält ergänzende Angaben zur Signalisation nach den Grundsätzen der Art. 63 ff. SSV . Laut Art. 17 Abs. 1 SSV werden Ausnahmen von signalisierten Vorschriften (z.B. "Zubringerdienst gestattet", "Mit schriftlicher Ausnahmebewilligung gestattet") auf einer Zusatztafel nach den Bestimmungen der Art. 63-65 SSV vermerkt.</w:t>
      </w:r>
    </w:p>
    <w:p>
      <w:r>
        <w:rPr>
          <w:b/>
        </w:rPr>
        <w:t>E. 2.2</w:t>
      </w:r>
    </w:p>
    <w:p>
      <w:r>
        <w:t>Es wird von keiner Seite in Frage gestellt, dass die Signale ordnungsgemäss angeordnet und aufgestellt worden waren sowie auch sonst den gesetzlichen Vorschriften entsprachen.</w:t>
      </w:r>
    </w:p>
    <w:p>
      <w:r>
        <w:rPr>
          <w:b/>
        </w:rPr>
        <w:t>E. 2.3</w:t>
      </w:r>
    </w:p>
    <w:p>
      <w:r>
        <w:t>Das signalisierte Fahrverbot für Motorwagen und Motorräder in der Ackerstrasse galt wie erwähnt nur nachts zwischen 22.00 h und 05.00 h. Der Erlaubnisvorbehalt gemäss der Zusatztafel gestattete Anwohnern, Taxis, der PTT, den öffentlichen Diensten und zum Güterumschlag jederzeit die Zufahrt in die Ackerstrasse, also auch zwischen 22.00 h und 05.00 h. Fraglich ist, was unter Zufahrt zu verstehen ist. Zufahrt bedeutet nach dem allgemeinen Sprachgebrauch die Möglichkeit des Fahrens bis zu etwas hin (WAHRIG, Deutsches Wörterbuch, Neuausgabe 1994, Gütersloh 1996, S. 1800), also zu einem bestimmten Ziel. Dementsprechend ist Zufahrt synonym mit Einfahrt und Zugang (DUDEN, Das Synonymwörterbuch, Bd. 8, 3. Aufl., Mannheim 2004, S. 1081, 1083). Wie die Aufzählung der ausnahmsweise in der BGE 131 IV 138 S. 141 Zeit von 22.00 h bis 05.00 h vom Fahrverbot befreiten Personen, Betriebe und Dienstleister deutlich macht, ist die Ausnahmeregelung im Sinne eines erlaubten Zubringerdienstes im konkret abgesteckten Umfang zu verstehen. Art. 17 Abs. 3 SSV definiert den Begriff des Zubringerdienstes bzw. der Zubringer. Laut dieser Bestimmung erlaubt der Vermerk "Zubringerdienst gestattet" bei Fahrverboten sowie Mass- und Gewichtsbeschränkungen Fahrten zum Abliefern oder Abholen von Waren bei Anwohnern oder auf anliegenden Grundstücken, Fahrten von Anwohnern und von Personen, die Anwohner zu treffen oder auf anliegenden Grundstücken Arbeiten zu verrichten haben sowie die Beförderung solcher Personen durch Dritte. Der Begriff des Zubringerdienstes ist somit etwas weiter gefasst als die hier zu beurteilende Ausnahmeregelung für ausgewählte Zufahrten. Allerdings ist auch bei einem gestatteten Zubringerdienst im Sinne von Art. 17 Abs. 3 SSV die direkte Durchfahrt der signalisierten Strasse nicht erlaubt. Von der fraglichen Ausnahmebewilligung erfasst sind nach dem Gesagten allein zweckgebundene Zufahrten der ausdrücklich genannten Zubringer und Dienstleister in die Ackerstrasse, nicht jedoch reine Durchfahrten. Taxifahrer, die nicht selbst Anwohner sind, dürfen somit zwischen 22.00 h und 05.00 h die Ackerstrasse nur befahren, wenn sie einen Kundenauftrag an die Ackerstrasse oder eine Bestellung von der Ackerstrasse aus haben. Ob die Ausnahmebewilligung sich auch darauf erstreckt, in der Ackerstrasse auf potenzielle Kundschaft zu warten, bestimmt sich nach dem kantonalen oder kommunalen Recht über das Taxigewerbe (insbesondere Taxistandplätze) und braucht hier nicht beantwortet zu werden. Am dargelegten Umfang der Ausnahmebewilligung vermag der Umstand, dass das Wort Zufahrt auch mit jenem der Durchfahrt sinnverwandt ist bzw. sein kann (DUDEN, a.a.O., S. 1081), nichts zu ändern. Im konkreten Zusammenhang wären die beiden Wörter nur synonym, wenn die fragliche Zusatztafel mit einem Zusatz im Sinne der gestatteten Zufahrt bis zu einem bestimmten Ort jenseits der Ackerstrasse versehen gewesen wäre (z.B. "Zufahrt bis Limmatplatz gestattet").</w:t>
      </w:r>
    </w:p>
    <w:p>
      <w:r>
        <w:rPr>
          <w:b/>
        </w:rPr>
        <w:t>E. 2.4</w:t>
      </w:r>
    </w:p>
    <w:p>
      <w:r>
        <w:t>Der Beschwerdegegner befuhr die Ackerstrasse um 23.15 h. Er hatte keinen Kundenauftrag zur Ackerstrasse und wollte dort auch nicht auf potenzielle Kundschaft warten. Vielmehr beabsichtigte er, die Strasse zu durchfahren, um am Limmatplatz eine Pause einzulegen. Die Ausnahmebewilligung für ausgewählte, einen BGE 131 IV 138 S. 142 Bezug zur Ackerstrasse aufweisende Zufahrten galt nicht für die Fahrt des Beschwerdegegners. Die Signalisation war klar und verständlich. Die Bedeutung der ausnahmsweise erlaubten Zufahrt für Taxis im Unterschied zur (verbotenen) direkten Durchfahrt war vor Ort ohne besonderen Interpretationsbedarf erkennbar. Der Beschwerdegegner missachtete somit das zeitlich beschränkte und allgemein verständliche Fahrverbot. Das ihn frei sprechende Urteil der Vorinstanz verletzt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